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13" w:rsidRDefault="00496C13" w:rsidP="00496C13">
      <w:pPr>
        <w:pStyle w:val="first-paragraph-bottom-zero"/>
        <w:spacing w:before="120" w:beforeAutospacing="0" w:after="0" w:afterAutospacing="0" w:line="450" w:lineRule="atLeast"/>
        <w:ind w:firstLine="567"/>
        <w:jc w:val="center"/>
        <w:textAlignment w:val="baseline"/>
        <w:rPr>
          <w:b/>
          <w:color w:val="000000"/>
        </w:rPr>
      </w:pPr>
      <w:bookmarkStart w:id="0" w:name="_GoBack"/>
      <w:r w:rsidRPr="00496C13">
        <w:rPr>
          <w:b/>
          <w:color w:val="000000"/>
        </w:rPr>
        <w:t>Jatah</w:t>
      </w:r>
      <w:r>
        <w:rPr>
          <w:b/>
          <w:color w:val="000000"/>
        </w:rPr>
        <w:t xml:space="preserve"> Hibah </w:t>
      </w:r>
      <w:r w:rsidRPr="00496C13">
        <w:rPr>
          <w:b/>
          <w:color w:val="000000"/>
        </w:rPr>
        <w:t xml:space="preserve">Anggota </w:t>
      </w:r>
      <w:r w:rsidR="008E3C75">
        <w:rPr>
          <w:b/>
          <w:color w:val="000000"/>
        </w:rPr>
        <w:t>DPRD B</w:t>
      </w:r>
      <w:r w:rsidR="00FD0E2E">
        <w:rPr>
          <w:b/>
          <w:color w:val="000000"/>
        </w:rPr>
        <w:t>ali</w:t>
      </w:r>
      <w:r w:rsidRPr="00496C13">
        <w:rPr>
          <w:b/>
          <w:color w:val="000000"/>
        </w:rPr>
        <w:t xml:space="preserve"> Naik</w:t>
      </w:r>
    </w:p>
    <w:bookmarkEnd w:id="0"/>
    <w:p w:rsidR="00496C13" w:rsidRPr="00496C13" w:rsidRDefault="00496C13" w:rsidP="00496C13">
      <w:pPr>
        <w:pStyle w:val="first-paragraph-bottom-zero"/>
        <w:spacing w:before="120" w:beforeAutospacing="0" w:after="0" w:afterAutospacing="0" w:line="450" w:lineRule="atLeast"/>
        <w:ind w:firstLine="567"/>
        <w:jc w:val="center"/>
        <w:textAlignment w:val="baseline"/>
        <w:rPr>
          <w:b/>
          <w:color w:val="000000"/>
        </w:rPr>
      </w:pPr>
    </w:p>
    <w:p w:rsidR="00496C13" w:rsidRDefault="00496C13" w:rsidP="00496C13">
      <w:pPr>
        <w:pStyle w:val="first-paragraph-bottom-zero"/>
        <w:spacing w:before="120" w:beforeAutospacing="0" w:after="0" w:afterAutospacing="0" w:line="450" w:lineRule="atLeast"/>
        <w:jc w:val="both"/>
        <w:textAlignment w:val="baseline"/>
        <w:rPr>
          <w:color w:val="000000"/>
        </w:rPr>
      </w:pPr>
      <w:r>
        <w:rPr>
          <w:noProof/>
        </w:rPr>
        <w:drawing>
          <wp:inline distT="0" distB="0" distL="0" distR="0" wp14:anchorId="25F811CA" wp14:editId="6F7C4281">
            <wp:extent cx="5648325" cy="2707005"/>
            <wp:effectExtent l="0" t="0" r="9525" b="0"/>
            <wp:docPr id="1" name="Picture 1" descr="dana hibah, dprd bali, apbd b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a hibah, dprd bali, apbd ba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9024" cy="2707340"/>
                    </a:xfrm>
                    <a:prstGeom prst="rect">
                      <a:avLst/>
                    </a:prstGeom>
                    <a:noFill/>
                    <a:ln>
                      <a:noFill/>
                    </a:ln>
                  </pic:spPr>
                </pic:pic>
              </a:graphicData>
            </a:graphic>
          </wp:inline>
        </w:drawing>
      </w:r>
    </w:p>
    <w:p w:rsidR="00496C13" w:rsidRPr="00496C13" w:rsidRDefault="00496C13" w:rsidP="008E3C75">
      <w:pPr>
        <w:pStyle w:val="first-paragraph-bottom-zero"/>
        <w:spacing w:before="0" w:beforeAutospacing="0" w:after="0" w:afterAutospacing="0"/>
        <w:jc w:val="center"/>
        <w:textAlignment w:val="baseline"/>
        <w:rPr>
          <w:i/>
          <w:color w:val="000000"/>
        </w:rPr>
      </w:pPr>
      <w:r w:rsidRPr="00496C13">
        <w:rPr>
          <w:i/>
          <w:color w:val="000000"/>
        </w:rPr>
        <w:t>https://www.jawapos.com/radar/radarbali/news</w:t>
      </w:r>
    </w:p>
    <w:p w:rsidR="00632274" w:rsidRPr="00632274" w:rsidRDefault="00632274" w:rsidP="00523328">
      <w:pPr>
        <w:pStyle w:val="first-paragraph-bottom-zero"/>
        <w:spacing w:line="450" w:lineRule="atLeast"/>
        <w:ind w:firstLine="567"/>
        <w:jc w:val="both"/>
        <w:textAlignment w:val="baseline"/>
        <w:rPr>
          <w:color w:val="000000"/>
        </w:rPr>
      </w:pPr>
      <w:r w:rsidRPr="00632274">
        <w:rPr>
          <w:color w:val="000000"/>
        </w:rPr>
        <w:t>Data yang didapat Jawa Pos Radar Bali, dana hibah untuk satu anggota dewan meningkat dari awalnya menerima Rp 4,5 miliar pada 2017 kini menjadi Rp 5,4 miliar.</w:t>
      </w:r>
      <w:r>
        <w:rPr>
          <w:color w:val="000000"/>
        </w:rPr>
        <w:t xml:space="preserve"> </w:t>
      </w:r>
      <w:r w:rsidRPr="00632274">
        <w:rPr>
          <w:color w:val="000000"/>
        </w:rPr>
        <w:t>Yang menarik, menurut sumber Jawa Pos Radar Bali, meski sudah mendapat kenaikan dana hibah, ternyata anggota dewan masih berusaha mendapat gelontoran dana hibah dari jalan belakang.</w:t>
      </w:r>
      <w:r>
        <w:rPr>
          <w:color w:val="000000"/>
        </w:rPr>
        <w:t xml:space="preserve"> </w:t>
      </w:r>
      <w:r w:rsidRPr="00632274">
        <w:rPr>
          <w:color w:val="000000"/>
        </w:rPr>
        <w:t>Caranya yaitu mengambil jalur biro umum dengan cara meminta bantuan dari pejabat eksekutif.</w:t>
      </w:r>
    </w:p>
    <w:p w:rsidR="00632274" w:rsidRPr="00632274" w:rsidRDefault="00632274" w:rsidP="00632274">
      <w:pPr>
        <w:pStyle w:val="first-paragraph-bottom-zero"/>
        <w:spacing w:before="120" w:line="450" w:lineRule="atLeast"/>
        <w:ind w:firstLine="567"/>
        <w:jc w:val="both"/>
        <w:textAlignment w:val="baseline"/>
        <w:rPr>
          <w:color w:val="000000"/>
        </w:rPr>
      </w:pPr>
      <w:r w:rsidRPr="00632274">
        <w:rPr>
          <w:color w:val="000000"/>
        </w:rPr>
        <w:t>“Apalagi ini tahun politik ada Pilgub Bali. Dana hibah yang diberikan sebisa mungkin bisa berpengaruh saat coblosan nanti,” tukasnya.</w:t>
      </w:r>
      <w:r>
        <w:rPr>
          <w:color w:val="000000"/>
        </w:rPr>
        <w:t xml:space="preserve"> </w:t>
      </w:r>
      <w:r w:rsidRPr="00632274">
        <w:rPr>
          <w:color w:val="000000"/>
        </w:rPr>
        <w:t>Sumber Jawa Pos Radar Bali ini menjelaskan, sesuai aturan semestinya anggota dewan yang membawa proposal dari kelompok masyarakat mengajukan permohonan hibah yang ditujukan pada Gubernur Bali.</w:t>
      </w:r>
    </w:p>
    <w:p w:rsidR="00632274" w:rsidRPr="00632274" w:rsidRDefault="00632274" w:rsidP="00632274">
      <w:pPr>
        <w:pStyle w:val="first-paragraph-bottom-zero"/>
        <w:spacing w:before="120" w:line="450" w:lineRule="atLeast"/>
        <w:ind w:firstLine="567"/>
        <w:jc w:val="both"/>
        <w:textAlignment w:val="baseline"/>
        <w:rPr>
          <w:color w:val="000000"/>
        </w:rPr>
      </w:pPr>
      <w:r w:rsidRPr="00632274">
        <w:rPr>
          <w:color w:val="000000"/>
        </w:rPr>
        <w:t>Pertama, proposal itu dimasukkan ke bagian Biro Umum Setda Bali. Selanjutnya oleh Biro Umum proposal disortir.</w:t>
      </w:r>
      <w:r>
        <w:rPr>
          <w:color w:val="000000"/>
        </w:rPr>
        <w:t xml:space="preserve"> </w:t>
      </w:r>
      <w:r w:rsidRPr="00632274">
        <w:rPr>
          <w:color w:val="000000"/>
        </w:rPr>
        <w:t>Proposal kemudian dilanjutkan ke Organisasi Perangkat Daerah (OPD) sesuai bidangnya. Misal berkaitan dengan bantuan perbaikan infrastruktur, maka diberikan pada Dinas Pekerjaan Umum (PU).</w:t>
      </w:r>
      <w:r>
        <w:rPr>
          <w:color w:val="000000"/>
        </w:rPr>
        <w:t xml:space="preserve"> </w:t>
      </w:r>
      <w:r w:rsidRPr="00632274">
        <w:rPr>
          <w:color w:val="000000"/>
        </w:rPr>
        <w:t>Setelah itu, OPD yang memverifikasi administrasi layak atau tidak proposal. Jika layak dilakukan verifikasi faktual ke lapangan.</w:t>
      </w:r>
      <w:r>
        <w:rPr>
          <w:color w:val="000000"/>
        </w:rPr>
        <w:t xml:space="preserve"> </w:t>
      </w:r>
      <w:r w:rsidRPr="00632274">
        <w:rPr>
          <w:color w:val="000000"/>
        </w:rPr>
        <w:t xml:space="preserve">Kalau sudah layak dibuatkan rekomendasi OPD masing-masing, setelah itu baru muncul di </w:t>
      </w:r>
      <w:r w:rsidRPr="00632274">
        <w:rPr>
          <w:color w:val="000000"/>
        </w:rPr>
        <w:lastRenderedPageBreak/>
        <w:t>APBD. “Tapi faktanya dewan sebagai fasilitator sudah memplot sekian-sekian (angka dan peruntukan hibah, Red).</w:t>
      </w:r>
      <w:r>
        <w:rPr>
          <w:color w:val="000000"/>
        </w:rPr>
        <w:t xml:space="preserve"> </w:t>
      </w:r>
    </w:p>
    <w:p w:rsidR="00632274" w:rsidRPr="00632274" w:rsidRDefault="00632274" w:rsidP="00632274">
      <w:pPr>
        <w:pStyle w:val="first-paragraph-bottom-zero"/>
        <w:spacing w:before="120" w:line="450" w:lineRule="atLeast"/>
        <w:ind w:firstLine="567"/>
        <w:jc w:val="both"/>
        <w:textAlignment w:val="baseline"/>
        <w:rPr>
          <w:color w:val="000000"/>
        </w:rPr>
      </w:pPr>
      <w:r w:rsidRPr="00632274">
        <w:rPr>
          <w:color w:val="000000"/>
        </w:rPr>
        <w:t>Ini sebenarnya rahasia di balik layar,” tukas sumber yang kembali mewanti-wanti namanya tidak dimediakan.</w:t>
      </w:r>
      <w:r>
        <w:rPr>
          <w:color w:val="000000"/>
        </w:rPr>
        <w:t xml:space="preserve"> </w:t>
      </w:r>
      <w:r w:rsidRPr="00632274">
        <w:rPr>
          <w:color w:val="000000"/>
        </w:rPr>
        <w:t>Bagaimana kalau ada pemeriksaan dari BPK atau BPKP? “Masyarakat sudah dikasih tahu dan dikondisikan. Kalau ada pemeriksaan apa yang harus dijelaskan. Sudah sepakat kok,” bebernya.</w:t>
      </w:r>
    </w:p>
    <w:p w:rsidR="00496C13" w:rsidRPr="00496C13" w:rsidRDefault="00496C13" w:rsidP="00496C13">
      <w:pPr>
        <w:pStyle w:val="first-paragraph-bottom-zero"/>
        <w:spacing w:before="120" w:beforeAutospacing="0" w:after="0" w:afterAutospacing="0" w:line="450" w:lineRule="atLeast"/>
        <w:ind w:firstLine="567"/>
        <w:jc w:val="both"/>
        <w:textAlignment w:val="baseline"/>
        <w:rPr>
          <w:color w:val="000000"/>
        </w:rPr>
      </w:pPr>
      <w:r w:rsidRPr="00496C13">
        <w:rPr>
          <w:color w:val="000000"/>
        </w:rPr>
        <w:t>Anggota dewan yang meminta namanya tak dikorankan itu menambahkan, jumlah dana hibah masih bisa naik jika APBD perubahan 2018 bergulir. Tentu harus ada perjuangan dan lobi-lobi politik. “Sepertinya APBD perubahan nanti kemungkinan besar ada tambahan lagi,” imbuhnya.</w:t>
      </w:r>
    </w:p>
    <w:p w:rsidR="00496C13" w:rsidRPr="00496C13" w:rsidRDefault="00496C13" w:rsidP="00496C13">
      <w:pPr>
        <w:pStyle w:val="first-paragraph-bottom-zero"/>
        <w:spacing w:before="120" w:beforeAutospacing="0" w:after="0" w:afterAutospacing="0" w:line="450" w:lineRule="atLeast"/>
        <w:ind w:firstLine="567"/>
        <w:jc w:val="both"/>
        <w:textAlignment w:val="baseline"/>
        <w:rPr>
          <w:color w:val="000000"/>
        </w:rPr>
      </w:pPr>
      <w:r w:rsidRPr="00496C13">
        <w:rPr>
          <w:color w:val="000000"/>
        </w:rPr>
        <w:t>Sementara itu, Kordinator Banggar DPRD Bali, Nyoman Sugawa Korry saat dikonfirmasi mengatakan tidak ada kenaikan dana hibah. Ditanya apakah ada perubahan angka dari APBD sebelumnya, Sugawa kembali mengatakan tidak ada. “Yang dana hibah APBD induk 2018 itu sudah sesuai kesepakatan, jadi tidak ada kenaikan,” jelasnya. </w:t>
      </w:r>
    </w:p>
    <w:p w:rsidR="003F6541" w:rsidRDefault="003F6541">
      <w:pPr>
        <w:rPr>
          <w:rFonts w:cs="Times New Roman"/>
        </w:rPr>
      </w:pPr>
    </w:p>
    <w:p w:rsidR="00496C13" w:rsidRPr="00632274" w:rsidRDefault="00496C13">
      <w:pPr>
        <w:rPr>
          <w:rFonts w:cs="Times New Roman"/>
          <w:b/>
        </w:rPr>
      </w:pPr>
      <w:r w:rsidRPr="00632274">
        <w:rPr>
          <w:rFonts w:cs="Times New Roman"/>
          <w:b/>
        </w:rPr>
        <w:t>Sumber Berita:</w:t>
      </w:r>
    </w:p>
    <w:p w:rsidR="00496C13" w:rsidRDefault="00381C34" w:rsidP="00496C13">
      <w:pPr>
        <w:pStyle w:val="ListParagraph"/>
        <w:numPr>
          <w:ilvl w:val="0"/>
          <w:numId w:val="1"/>
        </w:numPr>
        <w:ind w:left="567" w:hanging="567"/>
        <w:rPr>
          <w:rFonts w:cs="Times New Roman"/>
        </w:rPr>
      </w:pPr>
      <w:hyperlink r:id="rId9" w:history="1">
        <w:r w:rsidR="00496C13" w:rsidRPr="00496C13">
          <w:rPr>
            <w:rStyle w:val="Hyperlink"/>
            <w:rFonts w:cs="Times New Roman"/>
          </w:rPr>
          <w:t>https://www.jawapos.com/radarbali/read/2018/01/29/44372/wowsetiap-anggota-dewan-dijatah-dana-hibah-rp-54-m-naik-rp-900-juta</w:t>
        </w:r>
      </w:hyperlink>
      <w:r w:rsidR="00496C13">
        <w:rPr>
          <w:rFonts w:cs="Times New Roman"/>
        </w:rPr>
        <w:t xml:space="preserve">, </w:t>
      </w:r>
      <w:r w:rsidR="00496C13" w:rsidRPr="00496C13">
        <w:rPr>
          <w:rFonts w:cs="Times New Roman"/>
        </w:rPr>
        <w:t>Wow…Setiap Anggota Dewan Dijatah Dana Hibah Rp 5,4 M, Naik Rp 900 Juta</w:t>
      </w:r>
      <w:r w:rsidR="00496C13">
        <w:rPr>
          <w:rFonts w:cs="Times New Roman"/>
        </w:rPr>
        <w:t>.</w:t>
      </w:r>
    </w:p>
    <w:p w:rsidR="00632274" w:rsidRDefault="00381C34" w:rsidP="00632274">
      <w:pPr>
        <w:pStyle w:val="ListParagraph"/>
        <w:numPr>
          <w:ilvl w:val="0"/>
          <w:numId w:val="1"/>
        </w:numPr>
        <w:ind w:left="567" w:hanging="567"/>
        <w:rPr>
          <w:rFonts w:cs="Times New Roman"/>
        </w:rPr>
      </w:pPr>
      <w:hyperlink r:id="rId10" w:history="1">
        <w:r w:rsidR="00632274" w:rsidRPr="00951CDA">
          <w:rPr>
            <w:rStyle w:val="Hyperlink"/>
            <w:rFonts w:cs="Times New Roman"/>
          </w:rPr>
          <w:t>https://www.jawapos.com/radarbali/read/2018/01/29/44588/ini-modus-anggota-dewan-cari-tambahan-dana-hibah-di-tahun-politik</w:t>
        </w:r>
      </w:hyperlink>
      <w:r w:rsidR="00632274">
        <w:rPr>
          <w:rFonts w:cs="Times New Roman"/>
        </w:rPr>
        <w:t xml:space="preserve">, </w:t>
      </w:r>
      <w:r w:rsidR="00632274" w:rsidRPr="00632274">
        <w:rPr>
          <w:rFonts w:cs="Times New Roman"/>
        </w:rPr>
        <w:t>Ini Modus Anggota Dewan Cari Tambahan Dana Hibah di Tahun Politik</w:t>
      </w:r>
      <w:r w:rsidR="00632274">
        <w:rPr>
          <w:rFonts w:cs="Times New Roman"/>
        </w:rPr>
        <w:t xml:space="preserve">. </w:t>
      </w:r>
    </w:p>
    <w:p w:rsidR="00496C13" w:rsidRDefault="00496C13" w:rsidP="00496C13">
      <w:pPr>
        <w:pStyle w:val="ListParagraph"/>
        <w:numPr>
          <w:ilvl w:val="0"/>
          <w:numId w:val="1"/>
        </w:numPr>
        <w:ind w:left="567" w:hanging="567"/>
        <w:rPr>
          <w:rFonts w:cs="Times New Roman"/>
        </w:rPr>
      </w:pPr>
      <w:r>
        <w:rPr>
          <w:rFonts w:cs="Times New Roman"/>
        </w:rPr>
        <w:t>Radar Bali, 29 Januari 2018, Gaji Dewan Naik Rp900 Juta.</w:t>
      </w:r>
      <w:r w:rsidRPr="00496C13">
        <w:rPr>
          <w:rFonts w:cs="Times New Roman"/>
        </w:rPr>
        <w:t xml:space="preserve"> </w:t>
      </w:r>
    </w:p>
    <w:p w:rsidR="00632274" w:rsidRDefault="00632274" w:rsidP="00632274">
      <w:pPr>
        <w:rPr>
          <w:rFonts w:cs="Times New Roman"/>
        </w:rPr>
      </w:pPr>
    </w:p>
    <w:p w:rsidR="00632274" w:rsidRPr="00632274" w:rsidRDefault="00632274" w:rsidP="00632274">
      <w:pPr>
        <w:rPr>
          <w:rFonts w:cs="Times New Roman"/>
          <w:b/>
        </w:rPr>
      </w:pPr>
      <w:r w:rsidRPr="00632274">
        <w:rPr>
          <w:rFonts w:cs="Times New Roman"/>
          <w:b/>
        </w:rPr>
        <w:t>Catatan:</w:t>
      </w:r>
    </w:p>
    <w:p w:rsidR="00632274" w:rsidRDefault="00A93216" w:rsidP="00962C01">
      <w:pPr>
        <w:spacing w:after="120"/>
        <w:ind w:firstLine="567"/>
        <w:jc w:val="both"/>
        <w:rPr>
          <w:rFonts w:cs="Times New Roman"/>
          <w:lang w:val="id-ID"/>
        </w:rPr>
      </w:pPr>
      <w:r w:rsidRPr="00A93216">
        <w:rPr>
          <w:rFonts w:cs="Times New Roman"/>
        </w:rPr>
        <w:t>Peraturan Menteri Dalam Negeri Nomor 32 Tahun 2011</w:t>
      </w:r>
      <w:r>
        <w:rPr>
          <w:rFonts w:cs="Times New Roman"/>
        </w:rPr>
        <w:t xml:space="preserve"> sebagaimana telah diubah terakhir kali dengan </w:t>
      </w:r>
      <w:r w:rsidRPr="00A93216">
        <w:rPr>
          <w:rFonts w:cs="Times New Roman"/>
        </w:rPr>
        <w:t>Peraturan Menteri Dalam Negeri Nomor</w:t>
      </w:r>
      <w:r>
        <w:rPr>
          <w:rFonts w:cs="Times New Roman"/>
        </w:rPr>
        <w:t xml:space="preserve"> 14 Tahun 2016</w:t>
      </w:r>
      <w:r w:rsidRPr="00A93216">
        <w:rPr>
          <w:rFonts w:cs="Times New Roman"/>
        </w:rPr>
        <w:t xml:space="preserve"> mengenai Pedoman Pemberian Hibah dan Bantuan Sosial yang Bersumber dari Anggaran Pendapatan dan Belanja Daerah memberikan definisi Hibah</w:t>
      </w:r>
      <w:r w:rsidRPr="00A93216">
        <w:rPr>
          <w:rFonts w:cs="Times New Roman"/>
          <w:lang w:val="id-ID"/>
        </w:rPr>
        <w:t xml:space="preserve"> adalah pemberian</w:t>
      </w:r>
      <w:r w:rsidRPr="00A93216">
        <w:rPr>
          <w:rFonts w:cs="Times New Roman"/>
          <w:lang w:val="en-AU"/>
        </w:rPr>
        <w:t xml:space="preserve"> </w:t>
      </w:r>
      <w:r w:rsidRPr="00A93216">
        <w:rPr>
          <w:rFonts w:cs="Times New Roman"/>
          <w:lang w:val="id-ID"/>
        </w:rPr>
        <w:t xml:space="preserve">uang/barang atau jasa dari </w:t>
      </w:r>
      <w:r w:rsidRPr="00A93216">
        <w:rPr>
          <w:rFonts w:cs="Times New Roman"/>
        </w:rPr>
        <w:t>pemerintah</w:t>
      </w:r>
      <w:r w:rsidRPr="00A93216">
        <w:rPr>
          <w:rFonts w:cs="Times New Roman"/>
          <w:lang w:val="id-ID"/>
        </w:rPr>
        <w:t xml:space="preserve"> daerah kepada pemerintah</w:t>
      </w:r>
      <w:r w:rsidRPr="00A93216">
        <w:rPr>
          <w:rFonts w:cs="Times New Roman"/>
        </w:rPr>
        <w:t xml:space="preserve"> pusat</w:t>
      </w:r>
      <w:r w:rsidRPr="00A93216">
        <w:rPr>
          <w:rFonts w:cs="Times New Roman"/>
          <w:lang w:val="id-ID"/>
        </w:rPr>
        <w:t xml:space="preserve"> atau pemerintah daerah lain, </w:t>
      </w:r>
      <w:r w:rsidRPr="00A93216">
        <w:rPr>
          <w:rFonts w:cs="Times New Roman"/>
        </w:rPr>
        <w:t>Badan Usaha Milik Negara/Badan Usaha Milik Daerah</w:t>
      </w:r>
      <w:r w:rsidRPr="00A93216">
        <w:rPr>
          <w:rFonts w:cs="Times New Roman"/>
          <w:lang w:val="id-ID"/>
        </w:rPr>
        <w:t xml:space="preserve">, </w:t>
      </w:r>
      <w:r w:rsidRPr="00A93216">
        <w:rPr>
          <w:rFonts w:cs="Times New Roman"/>
        </w:rPr>
        <w:t>Badan, Lembaga</w:t>
      </w:r>
      <w:r w:rsidRPr="00A93216">
        <w:rPr>
          <w:rFonts w:cs="Times New Roman"/>
          <w:lang w:val="id-ID"/>
        </w:rPr>
        <w:t xml:space="preserve"> dan organisasi kemasyarakatan yang </w:t>
      </w:r>
      <w:r w:rsidRPr="00A93216">
        <w:rPr>
          <w:rFonts w:cs="Times New Roman"/>
        </w:rPr>
        <w:lastRenderedPageBreak/>
        <w:t xml:space="preserve">berbadan hukum Indonesia, yang </w:t>
      </w:r>
      <w:r w:rsidRPr="00A93216">
        <w:rPr>
          <w:rFonts w:cs="Times New Roman"/>
          <w:lang w:val="id-ID"/>
        </w:rPr>
        <w:t>secara spesifik telah ditetapkan peruntukannya, bersifat tidak wajib dan tidak mengikat, serta tidak secara terus menerus yang bertujuan untuk menunjang penyelenggaraan urusan pemerintah</w:t>
      </w:r>
      <w:r w:rsidRPr="00A93216">
        <w:rPr>
          <w:rFonts w:cs="Times New Roman"/>
        </w:rPr>
        <w:t>an</w:t>
      </w:r>
      <w:r w:rsidRPr="00A93216">
        <w:rPr>
          <w:rFonts w:cs="Times New Roman"/>
          <w:lang w:val="id-ID"/>
        </w:rPr>
        <w:t xml:space="preserve"> daerah.</w:t>
      </w:r>
    </w:p>
    <w:p w:rsidR="00962C01" w:rsidRPr="00962C01" w:rsidRDefault="00962C01" w:rsidP="00962C01">
      <w:pPr>
        <w:spacing w:after="120"/>
        <w:ind w:firstLine="567"/>
        <w:jc w:val="both"/>
        <w:rPr>
          <w:rFonts w:cs="Times New Roman"/>
          <w:i/>
        </w:rPr>
      </w:pPr>
      <w:r w:rsidRPr="00962C01">
        <w:rPr>
          <w:rFonts w:cs="Times New Roman"/>
        </w:rPr>
        <w:t>Pemberian</w:t>
      </w:r>
      <w:r w:rsidRPr="00962C01">
        <w:rPr>
          <w:rFonts w:cs="Times New Roman"/>
          <w:lang w:val="it-IT"/>
        </w:rPr>
        <w:t xml:space="preserve"> hibah memenuhi kriteria </w:t>
      </w:r>
      <w:r w:rsidRPr="00962C01">
        <w:rPr>
          <w:rFonts w:cs="Times New Roman"/>
          <w:lang w:val="id-ID"/>
        </w:rPr>
        <w:t>paling sedikit</w:t>
      </w:r>
      <w:r>
        <w:rPr>
          <w:rStyle w:val="FootnoteReference"/>
          <w:rFonts w:cs="Times New Roman"/>
          <w:lang w:val="id-ID"/>
        </w:rPr>
        <w:footnoteReference w:id="1"/>
      </w:r>
      <w:r w:rsidRPr="00962C01">
        <w:rPr>
          <w:rFonts w:cs="Times New Roman"/>
          <w:lang w:val="it-IT"/>
        </w:rPr>
        <w:t>:</w:t>
      </w:r>
    </w:p>
    <w:p w:rsidR="00962C01" w:rsidRPr="00962C01" w:rsidRDefault="00962C01" w:rsidP="00962C01">
      <w:pPr>
        <w:numPr>
          <w:ilvl w:val="0"/>
          <w:numId w:val="3"/>
        </w:numPr>
        <w:spacing w:after="120"/>
        <w:ind w:left="426" w:hanging="426"/>
        <w:jc w:val="both"/>
        <w:rPr>
          <w:rFonts w:cs="Times New Roman"/>
        </w:rPr>
      </w:pPr>
      <w:r w:rsidRPr="00962C01">
        <w:rPr>
          <w:rFonts w:cs="Times New Roman"/>
        </w:rPr>
        <w:t>peruntukannya secara spesifik telah ditetapkan;</w:t>
      </w:r>
    </w:p>
    <w:p w:rsidR="00962C01" w:rsidRPr="00962C01" w:rsidRDefault="00962C01" w:rsidP="00962C01">
      <w:pPr>
        <w:numPr>
          <w:ilvl w:val="0"/>
          <w:numId w:val="3"/>
        </w:numPr>
        <w:spacing w:after="120"/>
        <w:ind w:left="426" w:hanging="426"/>
        <w:jc w:val="both"/>
        <w:rPr>
          <w:rFonts w:cs="Times New Roman"/>
        </w:rPr>
      </w:pPr>
      <w:r w:rsidRPr="00962C01">
        <w:rPr>
          <w:rFonts w:cs="Times New Roman"/>
        </w:rPr>
        <w:t>bersifat tidak wajib, tidak mengikat atau tidak secara terus menerus setiap tahun anggaran sesuai dengan kemampuan keuangan daerah kecuali ditentukan lain oleh peraturan perundang-undangan.</w:t>
      </w:r>
    </w:p>
    <w:p w:rsidR="00962C01" w:rsidRPr="00962C01" w:rsidRDefault="00962C01" w:rsidP="00962C01">
      <w:pPr>
        <w:numPr>
          <w:ilvl w:val="0"/>
          <w:numId w:val="3"/>
        </w:numPr>
        <w:spacing w:after="120"/>
        <w:ind w:left="426" w:hanging="426"/>
        <w:jc w:val="both"/>
        <w:rPr>
          <w:rFonts w:cs="Times New Roman"/>
        </w:rPr>
      </w:pPr>
      <w:r w:rsidRPr="00962C01">
        <w:rPr>
          <w:rFonts w:cs="Times New Roman"/>
        </w:rPr>
        <w:t>memberikan nilai manfaat bagi pemerintah daerah dalam mendukung terselenggaranya fungsi pemerintahan, pembangunan dan kemasyarakatan</w:t>
      </w:r>
      <w:r>
        <w:rPr>
          <w:rFonts w:cs="Times New Roman"/>
        </w:rPr>
        <w:t>.</w:t>
      </w:r>
    </w:p>
    <w:p w:rsidR="00962C01" w:rsidRPr="00962C01" w:rsidRDefault="00962C01" w:rsidP="00962C01">
      <w:pPr>
        <w:numPr>
          <w:ilvl w:val="0"/>
          <w:numId w:val="3"/>
        </w:numPr>
        <w:spacing w:after="120"/>
        <w:ind w:left="426" w:hanging="426"/>
        <w:jc w:val="both"/>
        <w:rPr>
          <w:rFonts w:cs="Times New Roman"/>
        </w:rPr>
      </w:pPr>
      <w:r w:rsidRPr="00962C01">
        <w:rPr>
          <w:rFonts w:cs="Times New Roman"/>
          <w:lang w:val="id-ID"/>
        </w:rPr>
        <w:t>memenuhi p</w:t>
      </w:r>
      <w:r w:rsidRPr="00962C01">
        <w:rPr>
          <w:rFonts w:cs="Times New Roman"/>
          <w:lang w:val="it-IT"/>
        </w:rPr>
        <w:t>ersyaratan penerima hibah</w:t>
      </w:r>
      <w:r w:rsidRPr="00962C01">
        <w:rPr>
          <w:rFonts w:cs="Times New Roman"/>
          <w:lang w:val="id-ID"/>
        </w:rPr>
        <w:t>.</w:t>
      </w:r>
    </w:p>
    <w:p w:rsidR="00962C01" w:rsidRPr="00962C01" w:rsidRDefault="00962C01" w:rsidP="00962C01">
      <w:pPr>
        <w:spacing w:after="120"/>
        <w:ind w:firstLine="567"/>
        <w:jc w:val="both"/>
        <w:rPr>
          <w:rFonts w:cs="Times New Roman"/>
        </w:rPr>
      </w:pPr>
      <w:r w:rsidRPr="00962C01">
        <w:rPr>
          <w:rFonts w:cs="Times New Roman"/>
        </w:rPr>
        <w:t>Hibah dapat diberikan kepada</w:t>
      </w:r>
      <w:r>
        <w:rPr>
          <w:rStyle w:val="FootnoteReference"/>
          <w:rFonts w:cs="Times New Roman"/>
        </w:rPr>
        <w:footnoteReference w:id="2"/>
      </w:r>
      <w:r w:rsidRPr="00962C01">
        <w:rPr>
          <w:rFonts w:cs="Times New Roman"/>
        </w:rPr>
        <w:t xml:space="preserve">: </w:t>
      </w:r>
    </w:p>
    <w:p w:rsidR="00962C01" w:rsidRPr="00962C01" w:rsidRDefault="00962C01" w:rsidP="00962C01">
      <w:pPr>
        <w:pStyle w:val="ListParagraph"/>
        <w:numPr>
          <w:ilvl w:val="0"/>
          <w:numId w:val="4"/>
        </w:numPr>
        <w:spacing w:after="120"/>
        <w:ind w:left="426" w:hanging="426"/>
        <w:jc w:val="both"/>
        <w:rPr>
          <w:rFonts w:cs="Times New Roman"/>
        </w:rPr>
      </w:pPr>
      <w:r w:rsidRPr="00962C01">
        <w:rPr>
          <w:rFonts w:cs="Times New Roman"/>
        </w:rPr>
        <w:t>Pemerintah Pusat;</w:t>
      </w:r>
    </w:p>
    <w:p w:rsidR="00962C01" w:rsidRPr="00962C01" w:rsidRDefault="00962C01" w:rsidP="00962C01">
      <w:pPr>
        <w:pStyle w:val="ListParagraph"/>
        <w:numPr>
          <w:ilvl w:val="0"/>
          <w:numId w:val="4"/>
        </w:numPr>
        <w:spacing w:after="120"/>
        <w:ind w:left="426" w:hanging="426"/>
        <w:jc w:val="both"/>
        <w:rPr>
          <w:rFonts w:cs="Times New Roman"/>
        </w:rPr>
      </w:pPr>
      <w:r w:rsidRPr="00962C01">
        <w:rPr>
          <w:rFonts w:cs="Times New Roman"/>
        </w:rPr>
        <w:t>Pemerintah Daerah lain;</w:t>
      </w:r>
    </w:p>
    <w:p w:rsidR="00962C01" w:rsidRPr="00962C01" w:rsidRDefault="00962C01" w:rsidP="00962C01">
      <w:pPr>
        <w:pStyle w:val="ListParagraph"/>
        <w:numPr>
          <w:ilvl w:val="0"/>
          <w:numId w:val="4"/>
        </w:numPr>
        <w:spacing w:after="120"/>
        <w:ind w:left="426" w:hanging="426"/>
        <w:jc w:val="both"/>
        <w:rPr>
          <w:rFonts w:cs="Times New Roman"/>
        </w:rPr>
      </w:pPr>
      <w:r w:rsidRPr="00962C01">
        <w:rPr>
          <w:rFonts w:cs="Times New Roman"/>
        </w:rPr>
        <w:t>Badan Usaha Milik Negara atau Badan Usaha Milik Daerah; dan/atau</w:t>
      </w:r>
    </w:p>
    <w:p w:rsidR="00A93216" w:rsidRDefault="00962C01" w:rsidP="00962C01">
      <w:pPr>
        <w:pStyle w:val="ListParagraph"/>
        <w:numPr>
          <w:ilvl w:val="0"/>
          <w:numId w:val="4"/>
        </w:numPr>
        <w:spacing w:after="120"/>
        <w:ind w:left="426" w:hanging="426"/>
        <w:jc w:val="both"/>
        <w:rPr>
          <w:rFonts w:cs="Times New Roman"/>
        </w:rPr>
      </w:pPr>
      <w:r w:rsidRPr="00962C01">
        <w:rPr>
          <w:rFonts w:cs="Times New Roman"/>
        </w:rPr>
        <w:t>Badan, Lembaga, dan organisasi kemasyarakatan yang berbadan hukum Indonesia.</w:t>
      </w:r>
    </w:p>
    <w:p w:rsidR="00962C01" w:rsidRDefault="00962C01" w:rsidP="00962C01">
      <w:pPr>
        <w:spacing w:after="120"/>
        <w:jc w:val="both"/>
        <w:rPr>
          <w:rFonts w:cs="Times New Roman"/>
        </w:rPr>
      </w:pPr>
      <w:r w:rsidRPr="00962C01">
        <w:rPr>
          <w:rFonts w:cs="Times New Roman"/>
        </w:rPr>
        <w:t>Mekanisme penganggaran Hibah secara umum, yaitu:</w:t>
      </w:r>
    </w:p>
    <w:p w:rsidR="00962C01" w:rsidRPr="00962C01" w:rsidRDefault="00962C01" w:rsidP="00962C01">
      <w:pPr>
        <w:numPr>
          <w:ilvl w:val="0"/>
          <w:numId w:val="6"/>
        </w:numPr>
        <w:spacing w:after="120"/>
        <w:ind w:left="426" w:hanging="426"/>
        <w:jc w:val="both"/>
        <w:rPr>
          <w:rFonts w:cs="Times New Roman"/>
          <w:lang w:val="fi-FI"/>
        </w:rPr>
      </w:pPr>
      <w:r w:rsidRPr="00962C01">
        <w:rPr>
          <w:rFonts w:cs="Times New Roman"/>
          <w:lang w:val="id-ID"/>
        </w:rPr>
        <w:t>Pemerintah pusat, pemerintah daerah lain, B</w:t>
      </w:r>
      <w:r w:rsidRPr="00962C01">
        <w:rPr>
          <w:rFonts w:cs="Times New Roman"/>
        </w:rPr>
        <w:t xml:space="preserve">adan </w:t>
      </w:r>
      <w:r w:rsidRPr="00962C01">
        <w:rPr>
          <w:rFonts w:cs="Times New Roman"/>
          <w:lang w:val="id-ID"/>
        </w:rPr>
        <w:t>U</w:t>
      </w:r>
      <w:r w:rsidRPr="00962C01">
        <w:rPr>
          <w:rFonts w:cs="Times New Roman"/>
        </w:rPr>
        <w:t xml:space="preserve">saha </w:t>
      </w:r>
      <w:r w:rsidRPr="00962C01">
        <w:rPr>
          <w:rFonts w:cs="Times New Roman"/>
          <w:lang w:val="id-ID"/>
        </w:rPr>
        <w:t>M</w:t>
      </w:r>
      <w:r w:rsidRPr="00962C01">
        <w:rPr>
          <w:rFonts w:cs="Times New Roman"/>
        </w:rPr>
        <w:t xml:space="preserve">ilik </w:t>
      </w:r>
      <w:r w:rsidRPr="00962C01">
        <w:rPr>
          <w:rFonts w:cs="Times New Roman"/>
          <w:lang w:val="id-ID"/>
        </w:rPr>
        <w:t>N</w:t>
      </w:r>
      <w:r w:rsidRPr="00962C01">
        <w:rPr>
          <w:rFonts w:cs="Times New Roman"/>
        </w:rPr>
        <w:t>egara</w:t>
      </w:r>
      <w:r w:rsidRPr="00962C01">
        <w:rPr>
          <w:rFonts w:cs="Times New Roman"/>
          <w:lang w:val="id-ID"/>
        </w:rPr>
        <w:t xml:space="preserve"> atau B</w:t>
      </w:r>
      <w:r w:rsidRPr="00962C01">
        <w:rPr>
          <w:rFonts w:cs="Times New Roman"/>
        </w:rPr>
        <w:t xml:space="preserve">adan </w:t>
      </w:r>
      <w:r w:rsidRPr="00962C01">
        <w:rPr>
          <w:rFonts w:cs="Times New Roman"/>
          <w:lang w:val="id-ID"/>
        </w:rPr>
        <w:t>U</w:t>
      </w:r>
      <w:r w:rsidRPr="00962C01">
        <w:rPr>
          <w:rFonts w:cs="Times New Roman"/>
        </w:rPr>
        <w:t xml:space="preserve">saha </w:t>
      </w:r>
      <w:r w:rsidRPr="00962C01">
        <w:rPr>
          <w:rFonts w:cs="Times New Roman"/>
          <w:lang w:val="id-ID"/>
        </w:rPr>
        <w:t>M</w:t>
      </w:r>
      <w:r w:rsidRPr="00962C01">
        <w:rPr>
          <w:rFonts w:cs="Times New Roman"/>
        </w:rPr>
        <w:t>ilik Daerah</w:t>
      </w:r>
      <w:r w:rsidRPr="00962C01">
        <w:rPr>
          <w:rFonts w:cs="Times New Roman"/>
          <w:lang w:val="id-ID"/>
        </w:rPr>
        <w:t xml:space="preserve">, badan dan </w:t>
      </w:r>
      <w:r w:rsidRPr="00962C01">
        <w:rPr>
          <w:rFonts w:cs="Times New Roman"/>
          <w:lang w:val="it-IT"/>
        </w:rPr>
        <w:t>lembaga</w:t>
      </w:r>
      <w:r w:rsidRPr="00962C01">
        <w:rPr>
          <w:rFonts w:cs="Times New Roman"/>
        </w:rPr>
        <w:t>,</w:t>
      </w:r>
      <w:r w:rsidRPr="00962C01">
        <w:rPr>
          <w:rFonts w:cs="Times New Roman"/>
          <w:lang w:val="id-ID"/>
        </w:rPr>
        <w:t xml:space="preserve"> serta organisasi kemasyarakatan sebagaimana dimaksud dalam Pasal 5 </w:t>
      </w:r>
      <w:r w:rsidRPr="00962C01">
        <w:rPr>
          <w:rFonts w:cs="Times New Roman"/>
        </w:rPr>
        <w:t xml:space="preserve">dapat </w:t>
      </w:r>
      <w:r w:rsidRPr="00962C01">
        <w:rPr>
          <w:rFonts w:cs="Times New Roman"/>
          <w:lang w:val="id-ID"/>
        </w:rPr>
        <w:t>menyampaikan u</w:t>
      </w:r>
      <w:r w:rsidRPr="00962C01">
        <w:rPr>
          <w:rFonts w:cs="Times New Roman"/>
          <w:lang w:val="pt-BR"/>
        </w:rPr>
        <w:t xml:space="preserve">sulan hibah secara tertulis </w:t>
      </w:r>
      <w:r w:rsidRPr="00962C01">
        <w:rPr>
          <w:rFonts w:cs="Times New Roman"/>
          <w:lang w:val="it-IT"/>
        </w:rPr>
        <w:t>kepada kepala daerah</w:t>
      </w:r>
      <w:r w:rsidRPr="00962C01">
        <w:rPr>
          <w:rFonts w:cs="Times New Roman"/>
        </w:rPr>
        <w:t>.</w:t>
      </w:r>
    </w:p>
    <w:p w:rsidR="00962C01" w:rsidRPr="00962C01" w:rsidRDefault="00962C01" w:rsidP="00962C01">
      <w:pPr>
        <w:numPr>
          <w:ilvl w:val="0"/>
          <w:numId w:val="6"/>
        </w:numPr>
        <w:spacing w:after="120"/>
        <w:ind w:left="426" w:hanging="426"/>
        <w:jc w:val="both"/>
        <w:rPr>
          <w:rFonts w:cs="Times New Roman"/>
          <w:lang w:val="fi-FI"/>
        </w:rPr>
      </w:pPr>
      <w:r w:rsidRPr="00962C01">
        <w:rPr>
          <w:rFonts w:cs="Times New Roman"/>
          <w:lang w:val="id-ID"/>
        </w:rPr>
        <w:t>Kepala daerah menunjuk</w:t>
      </w:r>
      <w:r w:rsidR="009454CD" w:rsidRPr="009454CD">
        <w:rPr>
          <w:rFonts w:ascii="Bookman Old Style" w:eastAsia="Arial Unicode MS" w:hAnsi="Bookman Old Style" w:cs="Times New Roman"/>
          <w:noProof/>
          <w:lang w:val="id-ID"/>
        </w:rPr>
        <w:t xml:space="preserve"> </w:t>
      </w:r>
      <w:r w:rsidR="009454CD" w:rsidRPr="009454CD">
        <w:rPr>
          <w:rFonts w:cs="Times New Roman"/>
          <w:lang w:val="id-ID"/>
        </w:rPr>
        <w:t>Satuan Kerja Perangkat Daerah</w:t>
      </w:r>
      <w:r w:rsidRPr="00962C01">
        <w:rPr>
          <w:rFonts w:cs="Times New Roman"/>
          <w:lang w:val="id-ID"/>
        </w:rPr>
        <w:t xml:space="preserve"> </w:t>
      </w:r>
      <w:r w:rsidR="009454CD">
        <w:rPr>
          <w:rFonts w:cs="Times New Roman"/>
        </w:rPr>
        <w:t>(</w:t>
      </w:r>
      <w:r w:rsidRPr="00962C01">
        <w:rPr>
          <w:rFonts w:cs="Times New Roman"/>
          <w:lang w:val="id-ID"/>
        </w:rPr>
        <w:t>SKPD</w:t>
      </w:r>
      <w:r w:rsidR="009454CD">
        <w:rPr>
          <w:rFonts w:cs="Times New Roman"/>
        </w:rPr>
        <w:t>)</w:t>
      </w:r>
      <w:r w:rsidRPr="00962C01">
        <w:rPr>
          <w:rFonts w:cs="Times New Roman"/>
          <w:lang w:val="id-ID"/>
        </w:rPr>
        <w:t xml:space="preserve"> terkait untuk melakukan evaluasi usulan sebagaimana dimaksud pada ayat (1).</w:t>
      </w:r>
    </w:p>
    <w:p w:rsidR="00962C01" w:rsidRPr="00962C01" w:rsidRDefault="00962C01" w:rsidP="00962C01">
      <w:pPr>
        <w:numPr>
          <w:ilvl w:val="0"/>
          <w:numId w:val="6"/>
        </w:numPr>
        <w:spacing w:after="120"/>
        <w:ind w:left="426" w:hanging="426"/>
        <w:jc w:val="both"/>
        <w:rPr>
          <w:rFonts w:cs="Times New Roman"/>
          <w:lang w:val="fi-FI"/>
        </w:rPr>
      </w:pPr>
      <w:r w:rsidRPr="00962C01">
        <w:rPr>
          <w:rFonts w:cs="Times New Roman"/>
          <w:lang w:val="id-ID"/>
        </w:rPr>
        <w:t xml:space="preserve">Kepala SKPD terkait sebagaimana dimaksud pada ayat (2) menyampaikan hasil evaluasi berupa rekomendasi kepada kepala daerah melalui </w:t>
      </w:r>
      <w:r w:rsidRPr="00962C01">
        <w:rPr>
          <w:rFonts w:cs="Times New Roman"/>
        </w:rPr>
        <w:t>Tim Anggaran Pemerintah Daerah</w:t>
      </w:r>
      <w:r w:rsidRPr="00962C01">
        <w:rPr>
          <w:rFonts w:cs="Times New Roman"/>
          <w:lang w:val="id-ID"/>
        </w:rPr>
        <w:t xml:space="preserve"> </w:t>
      </w:r>
      <w:r w:rsidR="009454CD">
        <w:rPr>
          <w:rFonts w:cs="Times New Roman"/>
        </w:rPr>
        <w:t>(</w:t>
      </w:r>
      <w:r w:rsidRPr="00962C01">
        <w:rPr>
          <w:rFonts w:cs="Times New Roman"/>
          <w:lang w:val="id-ID"/>
        </w:rPr>
        <w:t>TAPD</w:t>
      </w:r>
      <w:r w:rsidR="009454CD">
        <w:rPr>
          <w:rFonts w:cs="Times New Roman"/>
        </w:rPr>
        <w:t>)</w:t>
      </w:r>
      <w:r w:rsidRPr="00962C01">
        <w:rPr>
          <w:rFonts w:cs="Times New Roman"/>
          <w:lang w:val="id-ID"/>
        </w:rPr>
        <w:t>.</w:t>
      </w:r>
    </w:p>
    <w:p w:rsidR="00962C01" w:rsidRPr="00962C01" w:rsidRDefault="00962C01" w:rsidP="00962C01">
      <w:pPr>
        <w:numPr>
          <w:ilvl w:val="0"/>
          <w:numId w:val="6"/>
        </w:numPr>
        <w:spacing w:after="120"/>
        <w:ind w:left="426" w:hanging="426"/>
        <w:jc w:val="both"/>
        <w:rPr>
          <w:rFonts w:cs="Times New Roman"/>
          <w:lang w:val="fi-FI"/>
        </w:rPr>
      </w:pPr>
      <w:r w:rsidRPr="00962C01">
        <w:rPr>
          <w:rFonts w:cs="Times New Roman"/>
          <w:lang w:val="id-ID"/>
        </w:rPr>
        <w:lastRenderedPageBreak/>
        <w:t>TAPD memberikan pertimbangan atas rekomendasi sesuai dengan prioritas dan kemampuan keuangan daerah</w:t>
      </w:r>
      <w:r w:rsidRPr="00962C01">
        <w:rPr>
          <w:rFonts w:cs="Times New Roman"/>
        </w:rPr>
        <w:t>.</w:t>
      </w:r>
      <w:r w:rsidR="009454CD" w:rsidRPr="009454CD">
        <w:rPr>
          <w:rFonts w:cs="Times New Roman"/>
          <w:vertAlign w:val="superscript"/>
        </w:rPr>
        <w:t xml:space="preserve"> </w:t>
      </w:r>
      <w:r w:rsidR="009454CD" w:rsidRPr="009454CD">
        <w:rPr>
          <w:rFonts w:cs="Times New Roman"/>
          <w:vertAlign w:val="superscript"/>
        </w:rPr>
        <w:footnoteReference w:id="3"/>
      </w:r>
    </w:p>
    <w:p w:rsidR="009454CD" w:rsidRPr="009454CD" w:rsidRDefault="009454CD" w:rsidP="003423D6">
      <w:pPr>
        <w:numPr>
          <w:ilvl w:val="0"/>
          <w:numId w:val="6"/>
        </w:numPr>
        <w:spacing w:after="120"/>
        <w:ind w:left="426" w:hanging="426"/>
        <w:jc w:val="both"/>
        <w:rPr>
          <w:rFonts w:cs="Times New Roman"/>
        </w:rPr>
      </w:pPr>
      <w:r w:rsidRPr="009454CD">
        <w:rPr>
          <w:rFonts w:cs="Times New Roman"/>
          <w:lang w:val="id-ID"/>
        </w:rPr>
        <w:t>Rekomendasi</w:t>
      </w:r>
      <w:r w:rsidRPr="009454CD">
        <w:rPr>
          <w:rFonts w:cs="Times New Roman"/>
        </w:rPr>
        <w:t xml:space="preserve"> SKPD dan pertimbangan TAPD atas rekomendasi menjadi dasar pencatuman alokasi anggaran dalam rancangan Kebijakan Umum Anggaran (KUA) dan Prioritas Plafon Anggaran Sementara (PPAS); dan</w:t>
      </w:r>
    </w:p>
    <w:p w:rsidR="00962C01" w:rsidRDefault="009454CD" w:rsidP="009454CD">
      <w:pPr>
        <w:numPr>
          <w:ilvl w:val="0"/>
          <w:numId w:val="6"/>
        </w:numPr>
        <w:spacing w:after="120"/>
        <w:ind w:left="426" w:hanging="426"/>
        <w:jc w:val="both"/>
        <w:rPr>
          <w:rFonts w:cs="Times New Roman"/>
        </w:rPr>
      </w:pPr>
      <w:r w:rsidRPr="009454CD">
        <w:rPr>
          <w:rFonts w:cs="Times New Roman"/>
          <w:lang w:val="id-ID"/>
        </w:rPr>
        <w:t>Ditetapkan</w:t>
      </w:r>
      <w:r w:rsidRPr="009454CD">
        <w:rPr>
          <w:rFonts w:cs="Times New Roman"/>
        </w:rPr>
        <w:t xml:space="preserve"> RKA-PPKD.</w:t>
      </w:r>
    </w:p>
    <w:p w:rsidR="009454CD" w:rsidRPr="00E629A0" w:rsidRDefault="009454CD" w:rsidP="00523328">
      <w:pPr>
        <w:spacing w:after="120"/>
        <w:ind w:firstLine="567"/>
        <w:jc w:val="both"/>
        <w:rPr>
          <w:rFonts w:cs="Times New Roman"/>
          <w:lang w:val="fi-FI"/>
        </w:rPr>
      </w:pPr>
      <w:r w:rsidRPr="009454CD">
        <w:rPr>
          <w:rFonts w:cs="Times New Roman"/>
        </w:rPr>
        <w:t xml:space="preserve">Kemudian penyaluran/penyerahan Hibah dari pemerintah daerah kepada penerima Hibah dilakukan setelah penandatanganan NPHD, dimana prosesnya dimulai setelah </w:t>
      </w:r>
      <w:r w:rsidRPr="009454CD">
        <w:rPr>
          <w:rFonts w:cs="Times New Roman"/>
          <w:lang w:val="id-ID"/>
        </w:rPr>
        <w:t>Kepala</w:t>
      </w:r>
      <w:r w:rsidRPr="009454CD">
        <w:rPr>
          <w:rFonts w:cs="Times New Roman"/>
          <w:lang w:val="fi-FI"/>
        </w:rPr>
        <w:t xml:space="preserve"> daerah menetapkan daftar penerima hibah beserta besaran uang atau jenis barang atau jasa yang akan dihibahkan dengan keputusan kepala daerah berdasarkan peraturan daerah tentang APBD dan peraturan kepala daerah tentang penjabaran APBD.</w:t>
      </w:r>
      <w:r w:rsidR="00E629A0">
        <w:rPr>
          <w:rFonts w:cs="Times New Roman"/>
          <w:lang w:val="fi-FI"/>
        </w:rPr>
        <w:t xml:space="preserve"> </w:t>
      </w:r>
      <w:r w:rsidRPr="009454CD">
        <w:rPr>
          <w:rFonts w:cs="Times New Roman"/>
          <w:lang w:val="fi-FI"/>
        </w:rPr>
        <w:t>Daftar penerima hibah menjadi dasar penyaluran/penyerahan hibah.</w:t>
      </w:r>
      <w:r w:rsidR="00E629A0">
        <w:rPr>
          <w:rFonts w:cs="Times New Roman"/>
          <w:lang w:val="fi-FI"/>
        </w:rPr>
        <w:t xml:space="preserve"> </w:t>
      </w:r>
      <w:r w:rsidRPr="009454CD">
        <w:rPr>
          <w:rFonts w:cs="Times New Roman"/>
          <w:lang w:val="fi-FI"/>
        </w:rPr>
        <w:t>Pencairan hibah dalam bentuk uang dilakukan dengan mekanisme pembayaran langsung (LS) sesuai dengan ketentuan peraturan perundang-undangan</w:t>
      </w:r>
      <w:r w:rsidRPr="009454CD">
        <w:rPr>
          <w:rFonts w:cs="Times New Roman"/>
          <w:i/>
          <w:lang w:val="id-ID"/>
        </w:rPr>
        <w:t>.</w:t>
      </w:r>
      <w:r w:rsidR="00E629A0">
        <w:rPr>
          <w:rStyle w:val="FootnoteReference"/>
          <w:rFonts w:cs="Times New Roman"/>
          <w:i/>
          <w:lang w:val="id-ID"/>
        </w:rPr>
        <w:footnoteReference w:id="4"/>
      </w:r>
    </w:p>
    <w:p w:rsidR="009454CD" w:rsidRPr="00962C01" w:rsidRDefault="009454CD" w:rsidP="009454CD">
      <w:pPr>
        <w:spacing w:after="120"/>
        <w:ind w:firstLine="567"/>
        <w:jc w:val="both"/>
        <w:rPr>
          <w:rFonts w:cs="Times New Roman"/>
        </w:rPr>
      </w:pPr>
    </w:p>
    <w:sectPr w:rsidR="009454CD" w:rsidRPr="00962C01" w:rsidSect="00523328">
      <w:footerReference w:type="default" r:id="rId11"/>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C34" w:rsidRDefault="00381C34" w:rsidP="00962C01">
      <w:pPr>
        <w:spacing w:line="240" w:lineRule="auto"/>
      </w:pPr>
      <w:r>
        <w:separator/>
      </w:r>
    </w:p>
  </w:endnote>
  <w:endnote w:type="continuationSeparator" w:id="0">
    <w:p w:rsidR="00381C34" w:rsidRDefault="00381C34" w:rsidP="00962C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C75" w:rsidRPr="008E3C75" w:rsidRDefault="008E3C75" w:rsidP="008E3C75">
    <w:pPr>
      <w:tabs>
        <w:tab w:val="center" w:pos="4680"/>
        <w:tab w:val="right" w:pos="9360"/>
      </w:tabs>
      <w:spacing w:line="240" w:lineRule="auto"/>
      <w:rPr>
        <w:rFonts w:ascii="Cambria" w:eastAsia="Calibri" w:hAnsi="Cambria" w:cs="Times New Roman"/>
        <w:sz w:val="22"/>
        <w:szCs w:val="22"/>
      </w:rPr>
    </w:pPr>
    <w:r w:rsidRPr="008E3C75">
      <w:rPr>
        <w:rFonts w:ascii="Cambria" w:eastAsia="Calibri" w:hAnsi="Cambria" w:cs="Times New Roman"/>
        <w:b/>
        <w:i/>
        <w:sz w:val="22"/>
        <w:szCs w:val="22"/>
      </w:rPr>
      <w:t>Sub Bagian Hukum BPK Perwakilan Provinsi Bali</w:t>
    </w:r>
    <w:r w:rsidRPr="008E3C75">
      <w:rPr>
        <w:rFonts w:ascii="Cambria" w:eastAsia="Calibri" w:hAnsi="Cambria" w:cs="Times New Roman"/>
        <w:sz w:val="22"/>
        <w:szCs w:val="22"/>
      </w:rPr>
      <w:ptab w:relativeTo="margin" w:alignment="right" w:leader="none"/>
    </w:r>
    <w:r w:rsidRPr="008E3C75">
      <w:rPr>
        <w:rFonts w:ascii="Cambria" w:eastAsia="Calibri" w:hAnsi="Cambria" w:cs="Times New Roman"/>
        <w:sz w:val="22"/>
        <w:szCs w:val="22"/>
      </w:rPr>
      <w:t xml:space="preserve"> </w:t>
    </w:r>
    <w:r w:rsidRPr="008E3C75">
      <w:rPr>
        <w:rFonts w:ascii="Calibri" w:eastAsia="Calibri" w:hAnsi="Calibri" w:cs="Times New Roman"/>
        <w:sz w:val="22"/>
        <w:szCs w:val="22"/>
      </w:rPr>
      <w:fldChar w:fldCharType="begin"/>
    </w:r>
    <w:r w:rsidRPr="008E3C75">
      <w:rPr>
        <w:rFonts w:ascii="Calibri" w:eastAsia="Calibri" w:hAnsi="Calibri" w:cs="Times New Roman"/>
        <w:sz w:val="22"/>
        <w:szCs w:val="22"/>
      </w:rPr>
      <w:instrText xml:space="preserve"> PAGE   \* MERGEFORMAT </w:instrText>
    </w:r>
    <w:r w:rsidRPr="008E3C75">
      <w:rPr>
        <w:rFonts w:ascii="Calibri" w:eastAsia="Calibri" w:hAnsi="Calibri" w:cs="Times New Roman"/>
        <w:sz w:val="22"/>
        <w:szCs w:val="22"/>
      </w:rPr>
      <w:fldChar w:fldCharType="separate"/>
    </w:r>
    <w:r w:rsidR="00FD0E2E" w:rsidRPr="00FD0E2E">
      <w:rPr>
        <w:rFonts w:ascii="Cambria" w:eastAsia="Calibri" w:hAnsi="Cambria" w:cs="Times New Roman"/>
        <w:noProof/>
        <w:sz w:val="22"/>
        <w:szCs w:val="22"/>
      </w:rPr>
      <w:t>4</w:t>
    </w:r>
    <w:r w:rsidRPr="008E3C75">
      <w:rPr>
        <w:rFonts w:ascii="Cambria" w:eastAsia="Calibri" w:hAnsi="Cambria" w:cs="Times New Roman"/>
        <w:noProof/>
        <w:sz w:val="22"/>
        <w:szCs w:val="22"/>
      </w:rPr>
      <w:fldChar w:fldCharType="end"/>
    </w:r>
  </w:p>
  <w:p w:rsidR="009571FE" w:rsidRPr="008E3C75" w:rsidRDefault="009571FE" w:rsidP="008E3C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C34" w:rsidRDefault="00381C34" w:rsidP="00962C01">
      <w:pPr>
        <w:spacing w:line="240" w:lineRule="auto"/>
      </w:pPr>
      <w:r>
        <w:separator/>
      </w:r>
    </w:p>
  </w:footnote>
  <w:footnote w:type="continuationSeparator" w:id="0">
    <w:p w:rsidR="00381C34" w:rsidRDefault="00381C34" w:rsidP="00962C01">
      <w:pPr>
        <w:spacing w:line="240" w:lineRule="auto"/>
      </w:pPr>
      <w:r>
        <w:continuationSeparator/>
      </w:r>
    </w:p>
  </w:footnote>
  <w:footnote w:id="1">
    <w:p w:rsidR="00962C01" w:rsidRDefault="00962C01">
      <w:pPr>
        <w:pStyle w:val="FootnoteText"/>
      </w:pPr>
      <w:r>
        <w:rPr>
          <w:rStyle w:val="FootnoteReference"/>
        </w:rPr>
        <w:footnoteRef/>
      </w:r>
      <w:r>
        <w:t xml:space="preserve"> Pasal 4 ayat (4) </w:t>
      </w:r>
      <w:r w:rsidRPr="00962C01">
        <w:t>Permendagri Nomor 14 Tahun 2016</w:t>
      </w:r>
      <w:r>
        <w:t>.</w:t>
      </w:r>
    </w:p>
  </w:footnote>
  <w:footnote w:id="2">
    <w:p w:rsidR="00962C01" w:rsidRDefault="00962C01">
      <w:pPr>
        <w:pStyle w:val="FootnoteText"/>
      </w:pPr>
      <w:r>
        <w:rPr>
          <w:rStyle w:val="FootnoteReference"/>
        </w:rPr>
        <w:footnoteRef/>
      </w:r>
      <w:r>
        <w:t xml:space="preserve"> Pasal 5 Permendagri Nomor 14 Tahun 2016.</w:t>
      </w:r>
    </w:p>
  </w:footnote>
  <w:footnote w:id="3">
    <w:p w:rsidR="009454CD" w:rsidRDefault="009454CD" w:rsidP="00E54FF2">
      <w:pPr>
        <w:pStyle w:val="FootnoteText"/>
      </w:pPr>
      <w:r>
        <w:rPr>
          <w:rStyle w:val="FootnoteReference"/>
        </w:rPr>
        <w:footnoteRef/>
      </w:r>
      <w:r>
        <w:t xml:space="preserve"> Pasal 8 </w:t>
      </w:r>
      <w:r w:rsidRPr="00962C01">
        <w:t>Permendagri Nomor 14 Tahun 2016.</w:t>
      </w:r>
    </w:p>
  </w:footnote>
  <w:footnote w:id="4">
    <w:p w:rsidR="00E629A0" w:rsidRDefault="00E629A0" w:rsidP="00E54FF2">
      <w:pPr>
        <w:pStyle w:val="FootnoteText"/>
      </w:pPr>
      <w:r>
        <w:rPr>
          <w:rStyle w:val="FootnoteReference"/>
        </w:rPr>
        <w:footnoteRef/>
      </w:r>
      <w:r>
        <w:t xml:space="preserve"> Pasal 14 </w:t>
      </w:r>
      <w:r w:rsidRPr="00E629A0">
        <w:t>Permendagri Nomor 14 Tahun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940D6"/>
    <w:multiLevelType w:val="hybridMultilevel"/>
    <w:tmpl w:val="256612DA"/>
    <w:lvl w:ilvl="0" w:tplc="04090019">
      <w:start w:val="1"/>
      <w:numFmt w:val="lowerLetter"/>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1">
    <w:nsid w:val="2CDC2356"/>
    <w:multiLevelType w:val="hybridMultilevel"/>
    <w:tmpl w:val="1C7C40AA"/>
    <w:lvl w:ilvl="0" w:tplc="2D020BCE">
      <w:start w:val="1"/>
      <w:numFmt w:val="lowerLetter"/>
      <w:lvlText w:val="%1."/>
      <w:lvlJc w:val="left"/>
      <w:pPr>
        <w:ind w:left="2282" w:hanging="360"/>
      </w:pPr>
      <w:rPr>
        <w:rFonts w:cs="Times New Roman" w:hint="default"/>
      </w:rPr>
    </w:lvl>
    <w:lvl w:ilvl="1" w:tplc="04090019" w:tentative="1">
      <w:start w:val="1"/>
      <w:numFmt w:val="lowerLetter"/>
      <w:lvlText w:val="%2."/>
      <w:lvlJc w:val="left"/>
      <w:pPr>
        <w:ind w:left="3002" w:hanging="360"/>
      </w:pPr>
      <w:rPr>
        <w:rFonts w:cs="Times New Roman"/>
      </w:rPr>
    </w:lvl>
    <w:lvl w:ilvl="2" w:tplc="0409001B" w:tentative="1">
      <w:start w:val="1"/>
      <w:numFmt w:val="lowerRoman"/>
      <w:lvlText w:val="%3."/>
      <w:lvlJc w:val="right"/>
      <w:pPr>
        <w:ind w:left="3722" w:hanging="180"/>
      </w:pPr>
      <w:rPr>
        <w:rFonts w:cs="Times New Roman"/>
      </w:rPr>
    </w:lvl>
    <w:lvl w:ilvl="3" w:tplc="0409000F">
      <w:start w:val="1"/>
      <w:numFmt w:val="decimal"/>
      <w:lvlText w:val="%4."/>
      <w:lvlJc w:val="left"/>
      <w:pPr>
        <w:ind w:left="4442" w:hanging="360"/>
      </w:pPr>
      <w:rPr>
        <w:rFonts w:cs="Times New Roman"/>
      </w:rPr>
    </w:lvl>
    <w:lvl w:ilvl="4" w:tplc="04090019" w:tentative="1">
      <w:start w:val="1"/>
      <w:numFmt w:val="lowerLetter"/>
      <w:lvlText w:val="%5."/>
      <w:lvlJc w:val="left"/>
      <w:pPr>
        <w:ind w:left="5162" w:hanging="360"/>
      </w:pPr>
      <w:rPr>
        <w:rFonts w:cs="Times New Roman"/>
      </w:rPr>
    </w:lvl>
    <w:lvl w:ilvl="5" w:tplc="0409001B" w:tentative="1">
      <w:start w:val="1"/>
      <w:numFmt w:val="lowerRoman"/>
      <w:lvlText w:val="%6."/>
      <w:lvlJc w:val="right"/>
      <w:pPr>
        <w:ind w:left="5882" w:hanging="180"/>
      </w:pPr>
      <w:rPr>
        <w:rFonts w:cs="Times New Roman"/>
      </w:rPr>
    </w:lvl>
    <w:lvl w:ilvl="6" w:tplc="0409000F" w:tentative="1">
      <w:start w:val="1"/>
      <w:numFmt w:val="decimal"/>
      <w:lvlText w:val="%7."/>
      <w:lvlJc w:val="left"/>
      <w:pPr>
        <w:ind w:left="6602" w:hanging="360"/>
      </w:pPr>
      <w:rPr>
        <w:rFonts w:cs="Times New Roman"/>
      </w:rPr>
    </w:lvl>
    <w:lvl w:ilvl="7" w:tplc="04090019" w:tentative="1">
      <w:start w:val="1"/>
      <w:numFmt w:val="lowerLetter"/>
      <w:lvlText w:val="%8."/>
      <w:lvlJc w:val="left"/>
      <w:pPr>
        <w:ind w:left="7322" w:hanging="360"/>
      </w:pPr>
      <w:rPr>
        <w:rFonts w:cs="Times New Roman"/>
      </w:rPr>
    </w:lvl>
    <w:lvl w:ilvl="8" w:tplc="0409001B" w:tentative="1">
      <w:start w:val="1"/>
      <w:numFmt w:val="lowerRoman"/>
      <w:lvlText w:val="%9."/>
      <w:lvlJc w:val="right"/>
      <w:pPr>
        <w:ind w:left="8042" w:hanging="180"/>
      </w:pPr>
      <w:rPr>
        <w:rFonts w:cs="Times New Roman"/>
      </w:rPr>
    </w:lvl>
  </w:abstractNum>
  <w:abstractNum w:abstractNumId="2">
    <w:nsid w:val="3E9E6959"/>
    <w:multiLevelType w:val="hybridMultilevel"/>
    <w:tmpl w:val="6CCC58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B332D5"/>
    <w:multiLevelType w:val="hybridMultilevel"/>
    <w:tmpl w:val="7FAC7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AC3EA8"/>
    <w:multiLevelType w:val="hybridMultilevel"/>
    <w:tmpl w:val="9CC4789E"/>
    <w:lvl w:ilvl="0" w:tplc="671C35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050DB6"/>
    <w:multiLevelType w:val="hybridMultilevel"/>
    <w:tmpl w:val="793A2BB4"/>
    <w:lvl w:ilvl="0" w:tplc="E4F66BCE">
      <w:start w:val="1"/>
      <w:numFmt w:val="decimal"/>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6">
    <w:nsid w:val="55247F6B"/>
    <w:multiLevelType w:val="hybridMultilevel"/>
    <w:tmpl w:val="793A2BB4"/>
    <w:lvl w:ilvl="0" w:tplc="E4F66BCE">
      <w:start w:val="1"/>
      <w:numFmt w:val="decimal"/>
      <w:lvlText w:val="(%1)"/>
      <w:lvlJc w:val="left"/>
      <w:pPr>
        <w:ind w:left="2770" w:hanging="360"/>
      </w:pPr>
      <w:rPr>
        <w:rFonts w:hint="default"/>
        <w:i w:val="0"/>
        <w:color w:val="auto"/>
        <w:kern w:val="24"/>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13"/>
    <w:rsid w:val="00381C34"/>
    <w:rsid w:val="003F6541"/>
    <w:rsid w:val="00496C13"/>
    <w:rsid w:val="00523328"/>
    <w:rsid w:val="00632274"/>
    <w:rsid w:val="007B3157"/>
    <w:rsid w:val="008E3C75"/>
    <w:rsid w:val="009454CD"/>
    <w:rsid w:val="009571FE"/>
    <w:rsid w:val="00962C01"/>
    <w:rsid w:val="00A93216"/>
    <w:rsid w:val="00BC2CC2"/>
    <w:rsid w:val="00E54FF2"/>
    <w:rsid w:val="00E629A0"/>
    <w:rsid w:val="00FD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0B093D-7302-4095-A626-4E6A715F6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rst-paragraph-bottom-zero">
    <w:name w:val="first-paragraph-bottom-zero"/>
    <w:basedOn w:val="Normal"/>
    <w:rsid w:val="00496C13"/>
    <w:pPr>
      <w:spacing w:before="100" w:beforeAutospacing="1" w:after="100" w:afterAutospacing="1" w:line="240" w:lineRule="auto"/>
    </w:pPr>
    <w:rPr>
      <w:rFonts w:eastAsia="Times New Roman" w:cs="Times New Roman"/>
    </w:rPr>
  </w:style>
  <w:style w:type="paragraph" w:styleId="NormalWeb">
    <w:name w:val="Normal (Web)"/>
    <w:basedOn w:val="Normal"/>
    <w:uiPriority w:val="99"/>
    <w:semiHidden/>
    <w:unhideWhenUsed/>
    <w:rsid w:val="00496C13"/>
    <w:pPr>
      <w:spacing w:before="100" w:beforeAutospacing="1" w:after="100" w:afterAutospacing="1" w:line="240" w:lineRule="auto"/>
    </w:pPr>
    <w:rPr>
      <w:rFonts w:eastAsia="Times New Roman" w:cs="Times New Roman"/>
    </w:rPr>
  </w:style>
  <w:style w:type="character" w:styleId="Hyperlink">
    <w:name w:val="Hyperlink"/>
    <w:basedOn w:val="DefaultParagraphFont"/>
    <w:uiPriority w:val="99"/>
    <w:unhideWhenUsed/>
    <w:rsid w:val="00496C13"/>
    <w:rPr>
      <w:color w:val="0563C1" w:themeColor="hyperlink"/>
      <w:u w:val="single"/>
    </w:rPr>
  </w:style>
  <w:style w:type="paragraph" w:styleId="ListParagraph">
    <w:name w:val="List Paragraph"/>
    <w:basedOn w:val="Normal"/>
    <w:uiPriority w:val="34"/>
    <w:qFormat/>
    <w:rsid w:val="00496C13"/>
    <w:pPr>
      <w:ind w:left="720"/>
      <w:contextualSpacing/>
    </w:pPr>
  </w:style>
  <w:style w:type="paragraph" w:styleId="FootnoteText">
    <w:name w:val="footnote text"/>
    <w:basedOn w:val="Normal"/>
    <w:link w:val="FootnoteTextChar"/>
    <w:uiPriority w:val="99"/>
    <w:semiHidden/>
    <w:unhideWhenUsed/>
    <w:rsid w:val="00962C01"/>
    <w:pPr>
      <w:spacing w:line="240" w:lineRule="auto"/>
    </w:pPr>
    <w:rPr>
      <w:sz w:val="20"/>
      <w:szCs w:val="20"/>
    </w:rPr>
  </w:style>
  <w:style w:type="character" w:customStyle="1" w:styleId="FootnoteTextChar">
    <w:name w:val="Footnote Text Char"/>
    <w:basedOn w:val="DefaultParagraphFont"/>
    <w:link w:val="FootnoteText"/>
    <w:uiPriority w:val="99"/>
    <w:semiHidden/>
    <w:rsid w:val="00962C01"/>
    <w:rPr>
      <w:sz w:val="20"/>
      <w:szCs w:val="20"/>
    </w:rPr>
  </w:style>
  <w:style w:type="character" w:styleId="FootnoteReference">
    <w:name w:val="footnote reference"/>
    <w:basedOn w:val="DefaultParagraphFont"/>
    <w:uiPriority w:val="99"/>
    <w:semiHidden/>
    <w:unhideWhenUsed/>
    <w:rsid w:val="00962C01"/>
    <w:rPr>
      <w:vertAlign w:val="superscript"/>
    </w:rPr>
  </w:style>
  <w:style w:type="paragraph" w:styleId="Header">
    <w:name w:val="header"/>
    <w:basedOn w:val="Normal"/>
    <w:link w:val="HeaderChar"/>
    <w:uiPriority w:val="99"/>
    <w:unhideWhenUsed/>
    <w:rsid w:val="009571FE"/>
    <w:pPr>
      <w:tabs>
        <w:tab w:val="center" w:pos="4680"/>
        <w:tab w:val="right" w:pos="9360"/>
      </w:tabs>
      <w:spacing w:line="240" w:lineRule="auto"/>
    </w:pPr>
  </w:style>
  <w:style w:type="character" w:customStyle="1" w:styleId="HeaderChar">
    <w:name w:val="Header Char"/>
    <w:basedOn w:val="DefaultParagraphFont"/>
    <w:link w:val="Header"/>
    <w:uiPriority w:val="99"/>
    <w:rsid w:val="009571FE"/>
  </w:style>
  <w:style w:type="paragraph" w:styleId="Footer">
    <w:name w:val="footer"/>
    <w:basedOn w:val="Normal"/>
    <w:link w:val="FooterChar"/>
    <w:uiPriority w:val="99"/>
    <w:unhideWhenUsed/>
    <w:rsid w:val="009571FE"/>
    <w:pPr>
      <w:tabs>
        <w:tab w:val="center" w:pos="4680"/>
        <w:tab w:val="right" w:pos="9360"/>
      </w:tabs>
      <w:spacing w:line="240" w:lineRule="auto"/>
    </w:pPr>
  </w:style>
  <w:style w:type="character" w:customStyle="1" w:styleId="FooterChar">
    <w:name w:val="Footer Char"/>
    <w:basedOn w:val="DefaultParagraphFont"/>
    <w:link w:val="Footer"/>
    <w:uiPriority w:val="99"/>
    <w:rsid w:val="00957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66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jawapos.com/radarbali/read/2018/01/29/44588/ini-modus-anggota-dewan-cari-tambahan-dana-hibah-di-tahun-politik" TargetMode="External"/><Relationship Id="rId4" Type="http://schemas.openxmlformats.org/officeDocument/2006/relationships/settings" Target="settings.xml"/><Relationship Id="rId9" Type="http://schemas.openxmlformats.org/officeDocument/2006/relationships/hyperlink" Target="https://www.jawapos.com/radarbali/read/2018/01/29/44372/wowsetiap-anggota-dewan-dijatah-dana-hibah-rp-54-m-naik-rp-900-ju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AF85F-0AF4-444C-9BC9-ECBF59A8B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Subbagian Hukum BPK Perwakilan Provinsi Bali</dc:creator>
  <cp:keywords/>
  <dc:description/>
  <cp:lastModifiedBy>Reza Fahrizal</cp:lastModifiedBy>
  <cp:revision>6</cp:revision>
  <dcterms:created xsi:type="dcterms:W3CDTF">2018-02-01T00:51:00Z</dcterms:created>
  <dcterms:modified xsi:type="dcterms:W3CDTF">2018-02-06T02:14:00Z</dcterms:modified>
</cp:coreProperties>
</file>