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816F5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RET</w:t>
      </w:r>
      <w:r w:rsidR="00820A2E">
        <w:rPr>
          <w:rFonts w:ascii="Times New Roman" w:hAnsi="Times New Roman"/>
          <w:sz w:val="24"/>
          <w:szCs w:val="24"/>
          <w:lang w:val="en-US"/>
        </w:rPr>
        <w:t xml:space="preserve">RIBUSI-RETRIBUSI </w:t>
      </w:r>
      <w:r w:rsidR="008B58A6">
        <w:rPr>
          <w:rFonts w:ascii="Times New Roman" w:hAnsi="Times New Roman"/>
          <w:sz w:val="24"/>
          <w:szCs w:val="24"/>
          <w:lang w:val="en-US"/>
        </w:rPr>
        <w:t xml:space="preserve">PEMAKAIAN KEKAYAAN DAERAH </w:t>
      </w:r>
      <w:r w:rsidR="004D384B">
        <w:rPr>
          <w:rFonts w:ascii="Times New Roman" w:hAnsi="Times New Roman"/>
          <w:sz w:val="24"/>
          <w:szCs w:val="24"/>
          <w:lang w:val="en-US"/>
        </w:rPr>
        <w:t>PERUBAHAN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8B58A6">
        <w:rPr>
          <w:rFonts w:ascii="Times New Roman" w:hAnsi="Times New Roman"/>
          <w:sz w:val="24"/>
          <w:szCs w:val="24"/>
          <w:lang w:val="en-US"/>
        </w:rPr>
        <w:t>17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8B58A6">
        <w:rPr>
          <w:rFonts w:ascii="Times New Roman" w:hAnsi="Times New Roman"/>
          <w:sz w:val="24"/>
          <w:szCs w:val="24"/>
          <w:lang w:val="en-US"/>
        </w:rPr>
        <w:t>17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8B58A6">
        <w:rPr>
          <w:rFonts w:ascii="Times New Roman" w:hAnsi="Times New Roman"/>
          <w:sz w:val="24"/>
          <w:szCs w:val="24"/>
          <w:lang w:val="en-US"/>
        </w:rPr>
        <w:t>15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  <w:r w:rsidR="00564C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820A2E">
        <w:rPr>
          <w:rFonts w:ascii="Times New Roman" w:hAnsi="Times New Roman"/>
          <w:sz w:val="24"/>
          <w:szCs w:val="24"/>
          <w:lang w:val="en-US"/>
        </w:rPr>
        <w:t>6</w:t>
      </w:r>
      <w:r w:rsidR="00564C0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42B1" w:rsidRPr="006D083A">
        <w:rPr>
          <w:rFonts w:ascii="Times New Roman" w:hAnsi="Times New Roman"/>
          <w:sz w:val="24"/>
          <w:szCs w:val="24"/>
        </w:rPr>
        <w:t>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3E39D8">
        <w:rPr>
          <w:rFonts w:ascii="Times New Roman" w:hAnsi="Times New Roman"/>
          <w:sz w:val="24"/>
          <w:szCs w:val="24"/>
          <w:lang w:val="en-US"/>
        </w:rPr>
        <w:t>KARANGASEM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8246AA">
        <w:rPr>
          <w:rFonts w:ascii="Times New Roman" w:hAnsi="Times New Roman"/>
          <w:sz w:val="24"/>
          <w:szCs w:val="24"/>
          <w:lang w:val="en-US"/>
        </w:rPr>
        <w:t xml:space="preserve">PERUBAHAN ATAS PERATURAN </w:t>
      </w:r>
      <w:r w:rsidR="008B58A6">
        <w:rPr>
          <w:rFonts w:ascii="Times New Roman" w:hAnsi="Times New Roman"/>
          <w:sz w:val="24"/>
          <w:szCs w:val="24"/>
          <w:lang w:val="en-US"/>
        </w:rPr>
        <w:t>DAERAH NOMOR 4 TAHUN 2012</w:t>
      </w:r>
      <w:r w:rsidR="00564C0A">
        <w:rPr>
          <w:rFonts w:ascii="Times New Roman" w:hAnsi="Times New Roman"/>
          <w:sz w:val="24"/>
          <w:szCs w:val="24"/>
          <w:lang w:val="en-US"/>
        </w:rPr>
        <w:t xml:space="preserve"> TENTANG </w:t>
      </w:r>
      <w:r w:rsidR="008B58A6">
        <w:rPr>
          <w:rFonts w:ascii="Times New Roman" w:hAnsi="Times New Roman"/>
          <w:sz w:val="24"/>
          <w:szCs w:val="24"/>
          <w:lang w:val="en-US"/>
        </w:rPr>
        <w:t xml:space="preserve">RETRIBUSI PEMAKAIAN KEKAYAAN DAERAH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D816F5" w:rsidRDefault="00564C0A" w:rsidP="00820A2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dalam rangka 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mengoptimalkan penerimaan retribusi Pemakaian Kekayaan Daerah Kabupaten Karangasem, 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maka perlu adanya penambahan objek retribusi dengan memperhatikan potensi daerah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dengan memperhatikan kondisi perkembangan perekonomian masyarakat yang cukup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baik, maka penetapan Retribusi Pemakaian Kekayaan Daerah 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sudah tidak sesuai dengan kondisi dan kebutuhan saat ini se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hingga </w:t>
            </w:r>
            <w:r w:rsidR="00820A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perlu menetapkan Peraturan Daerah tentang Perubahan Atas 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>Peraturan Daerah Nomor 4 Tahun 2012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20A2E">
              <w:rPr>
                <w:rFonts w:ascii="Times New Roman" w:hAnsi="Times New Roman"/>
                <w:sz w:val="24"/>
                <w:szCs w:val="24"/>
                <w:lang w:val="en-US"/>
              </w:rPr>
              <w:t>tentang Retribusi Pemakaian Kekayaan Daerah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8B58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>Und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>ang-Undang Nomor 69 Tahun 1958;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-Undang Nomor 28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Tahun 2009; Undang-Undang Nomor 12 Tahun 2011; Undang-Undang Nomor 23 Tahun 2014.</w:t>
            </w:r>
            <w:r w:rsidR="00461D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816F5" w:rsidRPr="00820A2E" w:rsidRDefault="00D816F5" w:rsidP="00D816F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="00820A2E">
              <w:rPr>
                <w:rFonts w:ascii="Times New Roman" w:hAnsi="Times New Roman"/>
                <w:sz w:val="24"/>
                <w:szCs w:val="24"/>
                <w:lang w:val="en-US"/>
              </w:rPr>
              <w:t>ruktur besarnya Tarif retribusi;</w:t>
            </w:r>
          </w:p>
          <w:p w:rsidR="00820A2E" w:rsidRPr="00D816F5" w:rsidRDefault="00964B82" w:rsidP="00D816F5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Mencabut Peraturan Bupati Karangasem Nomor 12 Tahun 2006 dan Peraturan Bupati Karangasem Nomor 4 Tahun 2015.</w:t>
            </w:r>
          </w:p>
          <w:p w:rsidR="00594037" w:rsidRPr="00594037" w:rsidRDefault="00930C3C" w:rsidP="00594037">
            <w:pPr>
              <w:spacing w:after="0"/>
              <w:ind w:left="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Peraturan Daerah ini terdir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atas II Pasal dan 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perubahan.</w:t>
            </w:r>
          </w:p>
          <w:p w:rsidR="009142B1" w:rsidRPr="00594037" w:rsidRDefault="009142B1" w:rsidP="00594037">
            <w:pPr>
              <w:ind w:left="1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2C05" w:rsidRPr="006D083A" w:rsidTr="00B70129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27 Desember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EC366B">
              <w:rPr>
                <w:rFonts w:ascii="Times New Roman" w:hAnsi="Times New Roman"/>
                <w:sz w:val="24"/>
                <w:szCs w:val="24"/>
                <w:lang w:val="en-US"/>
              </w:rPr>
              <w:t>Amlapura</w:t>
            </w:r>
            <w:r w:rsidR="00EC366B">
              <w:rPr>
                <w:rFonts w:ascii="Times New Roman" w:hAnsi="Times New Roman"/>
                <w:sz w:val="24"/>
                <w:szCs w:val="24"/>
              </w:rPr>
              <w:t>, tanggal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27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64C0A">
              <w:rPr>
                <w:rFonts w:ascii="Times New Roman" w:hAnsi="Times New Roman"/>
                <w:sz w:val="24"/>
                <w:szCs w:val="24"/>
                <w:lang w:val="en-US"/>
              </w:rPr>
              <w:t>Desember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037" w:rsidRPr="00594037" w:rsidRDefault="00594037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Dalam Peraturan Daerah ini dilakuka perubahan </w:t>
            </w:r>
            <w:r w:rsidR="00EC366B">
              <w:rPr>
                <w:rFonts w:ascii="Times New Roman" w:hAnsi="Times New Roman"/>
                <w:sz w:val="24"/>
                <w:szCs w:val="24"/>
                <w:lang w:val="en-US"/>
              </w:rPr>
              <w:t>dalam ketentuan Pasal</w:t>
            </w:r>
            <w:r w:rsidR="001E30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  <w:r w:rsidR="008B58A6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94B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dan ,menyisipkan </w:t>
            </w:r>
            <w:r w:rsidR="003E39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Pasal </w:t>
            </w:r>
            <w:r w:rsidR="001E309A">
              <w:rPr>
                <w:rFonts w:ascii="Times New Roman" w:hAnsi="Times New Roman"/>
                <w:sz w:val="24"/>
                <w:szCs w:val="24"/>
                <w:lang w:val="en-US"/>
              </w:rPr>
              <w:t>24A</w:t>
            </w:r>
            <w:r w:rsidR="00894B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diantara Pasal 24 dan 25</w:t>
            </w:r>
            <w:bookmarkStart w:id="0" w:name="_GoBack"/>
            <w:bookmarkEnd w:id="0"/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142B1" w:rsidRPr="006D083A" w:rsidRDefault="00DB0169" w:rsidP="00E440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D816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 w:rsidSect="00DD5D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9142B1"/>
    <w:rsid w:val="000F3070"/>
    <w:rsid w:val="001630A8"/>
    <w:rsid w:val="001E309A"/>
    <w:rsid w:val="002A4FF6"/>
    <w:rsid w:val="003210E2"/>
    <w:rsid w:val="003E39D8"/>
    <w:rsid w:val="00461DFF"/>
    <w:rsid w:val="004978DF"/>
    <w:rsid w:val="004A1912"/>
    <w:rsid w:val="004D384B"/>
    <w:rsid w:val="00564C0A"/>
    <w:rsid w:val="00594037"/>
    <w:rsid w:val="005A1AF3"/>
    <w:rsid w:val="006A2665"/>
    <w:rsid w:val="006D083A"/>
    <w:rsid w:val="006D2896"/>
    <w:rsid w:val="006D7268"/>
    <w:rsid w:val="0076612B"/>
    <w:rsid w:val="00820A2E"/>
    <w:rsid w:val="008246AA"/>
    <w:rsid w:val="00836543"/>
    <w:rsid w:val="00842C05"/>
    <w:rsid w:val="0084698C"/>
    <w:rsid w:val="008626A5"/>
    <w:rsid w:val="00862F25"/>
    <w:rsid w:val="00876C30"/>
    <w:rsid w:val="00884982"/>
    <w:rsid w:val="008914A9"/>
    <w:rsid w:val="00894B2F"/>
    <w:rsid w:val="008B58A6"/>
    <w:rsid w:val="008B7D1C"/>
    <w:rsid w:val="009142B1"/>
    <w:rsid w:val="00930C3C"/>
    <w:rsid w:val="00964B82"/>
    <w:rsid w:val="009669F4"/>
    <w:rsid w:val="009A3BC4"/>
    <w:rsid w:val="00A74A92"/>
    <w:rsid w:val="00AD44B5"/>
    <w:rsid w:val="00B70129"/>
    <w:rsid w:val="00B816DA"/>
    <w:rsid w:val="00C268B8"/>
    <w:rsid w:val="00C317C2"/>
    <w:rsid w:val="00C33757"/>
    <w:rsid w:val="00C47A30"/>
    <w:rsid w:val="00D816F5"/>
    <w:rsid w:val="00DB0169"/>
    <w:rsid w:val="00DB12F3"/>
    <w:rsid w:val="00DD5D83"/>
    <w:rsid w:val="00E44026"/>
    <w:rsid w:val="00EC366B"/>
    <w:rsid w:val="00EF1629"/>
    <w:rsid w:val="00F539EE"/>
    <w:rsid w:val="00F5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79F4DF-D9D9-455B-B9A2-C01492E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6</cp:revision>
  <dcterms:created xsi:type="dcterms:W3CDTF">2017-09-14T06:12:00Z</dcterms:created>
  <dcterms:modified xsi:type="dcterms:W3CDTF">2017-10-26T07:37:00Z</dcterms:modified>
</cp:coreProperties>
</file>